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74A" w:rsidRPr="00E67EDD" w:rsidRDefault="00AD674A" w:rsidP="00AD674A">
      <w:pPr>
        <w:jc w:val="center"/>
        <w:rPr>
          <w:color w:val="2E74B5" w:themeColor="accent1" w:themeShade="BF"/>
          <w:sz w:val="40"/>
          <w:szCs w:val="40"/>
        </w:rPr>
      </w:pPr>
      <w:r w:rsidRPr="00E67EDD">
        <w:rPr>
          <w:color w:val="2E74B5" w:themeColor="accent1" w:themeShade="BF"/>
          <w:sz w:val="40"/>
          <w:szCs w:val="40"/>
        </w:rPr>
        <w:t xml:space="preserve">Garden State </w:t>
      </w:r>
    </w:p>
    <w:p w:rsidR="00AD674A" w:rsidRPr="00E67EDD" w:rsidRDefault="00AD674A" w:rsidP="00AD674A">
      <w:pPr>
        <w:jc w:val="center"/>
        <w:rPr>
          <w:color w:val="2E74B5" w:themeColor="accent1" w:themeShade="BF"/>
          <w:sz w:val="40"/>
          <w:szCs w:val="40"/>
        </w:rPr>
      </w:pPr>
      <w:r w:rsidRPr="00E67EDD">
        <w:rPr>
          <w:rFonts w:ascii="Helvetica" w:hAnsi="Helvetica" w:cs="Helvetica"/>
          <w:noProof/>
          <w:color w:val="2E74B5" w:themeColor="accent1" w:themeShade="BF"/>
          <w:sz w:val="40"/>
          <w:szCs w:val="40"/>
        </w:rPr>
        <w:drawing>
          <wp:inline distT="0" distB="0" distL="0" distR="0" wp14:anchorId="428995F4" wp14:editId="334A7D18">
            <wp:extent cx="523875" cy="494499"/>
            <wp:effectExtent l="0" t="0" r="0" b="1270"/>
            <wp:docPr id="1" name="Picture 1" descr="New Jersey OSHA Training">
              <a:hlinkClick xmlns:a="http://schemas.openxmlformats.org/drawingml/2006/main" r:id="rId5"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New Jersey OSHA Training">
                      <a:hlinkClick r:id="rId5" tgtFrame="&quot;&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494499"/>
                    </a:xfrm>
                    <a:prstGeom prst="rect">
                      <a:avLst/>
                    </a:prstGeom>
                    <a:noFill/>
                    <a:ln>
                      <a:noFill/>
                    </a:ln>
                  </pic:spPr>
                </pic:pic>
              </a:graphicData>
            </a:graphic>
          </wp:inline>
        </w:drawing>
      </w:r>
    </w:p>
    <w:p w:rsidR="00AD674A" w:rsidRPr="00E67EDD" w:rsidRDefault="00AD674A" w:rsidP="00AD674A">
      <w:pPr>
        <w:jc w:val="center"/>
        <w:rPr>
          <w:color w:val="2E74B5" w:themeColor="accent1" w:themeShade="BF"/>
          <w:sz w:val="40"/>
          <w:szCs w:val="40"/>
        </w:rPr>
      </w:pPr>
      <w:r w:rsidRPr="00E67EDD">
        <w:rPr>
          <w:color w:val="2E74B5" w:themeColor="accent1" w:themeShade="BF"/>
          <w:sz w:val="40"/>
          <w:szCs w:val="40"/>
        </w:rPr>
        <w:t>Coalition of Schools (GSCS)</w:t>
      </w:r>
    </w:p>
    <w:p w:rsidR="00AD674A" w:rsidRPr="00E67EDD" w:rsidRDefault="00AD674A" w:rsidP="00AD674A">
      <w:pPr>
        <w:jc w:val="center"/>
        <w:rPr>
          <w:color w:val="2E74B5" w:themeColor="accent1" w:themeShade="BF"/>
        </w:rPr>
      </w:pPr>
      <w:r w:rsidRPr="00E67EDD">
        <w:rPr>
          <w:color w:val="2E74B5" w:themeColor="accent1" w:themeShade="BF"/>
        </w:rPr>
        <w:t>160 West State Street, Trenton, NJ 08608</w:t>
      </w:r>
    </w:p>
    <w:p w:rsidR="00AD674A" w:rsidRPr="00E67EDD" w:rsidRDefault="00AD674A" w:rsidP="00AD674A">
      <w:pPr>
        <w:jc w:val="center"/>
        <w:rPr>
          <w:color w:val="2E74B5" w:themeColor="accent1" w:themeShade="BF"/>
        </w:rPr>
      </w:pPr>
      <w:r w:rsidRPr="00E67EDD">
        <w:rPr>
          <w:color w:val="2E74B5" w:themeColor="accent1" w:themeShade="BF"/>
        </w:rPr>
        <w:t>609-394-2828 / 732-996-9016</w:t>
      </w:r>
    </w:p>
    <w:p w:rsidR="00AD674A" w:rsidRDefault="005F320C" w:rsidP="00AD674A">
      <w:pPr>
        <w:jc w:val="center"/>
        <w:rPr>
          <w:rStyle w:val="Hyperlink"/>
        </w:rPr>
      </w:pPr>
      <w:hyperlink r:id="rId7" w:history="1">
        <w:r w:rsidR="00AD674A" w:rsidRPr="00992A5E">
          <w:rPr>
            <w:rStyle w:val="Hyperlink"/>
          </w:rPr>
          <w:t>www.gscschools.org</w:t>
        </w:r>
      </w:hyperlink>
    </w:p>
    <w:p w:rsidR="00AD674A" w:rsidRDefault="00AD674A" w:rsidP="00AD674A">
      <w:pPr>
        <w:jc w:val="center"/>
        <w:rPr>
          <w:rStyle w:val="Hyperlink"/>
        </w:rPr>
      </w:pPr>
    </w:p>
    <w:p w:rsidR="00AD674A" w:rsidRDefault="00AD674A" w:rsidP="00AD674A">
      <w:pPr>
        <w:jc w:val="center"/>
        <w:rPr>
          <w:color w:val="44546A" w:themeColor="text2"/>
        </w:rPr>
      </w:pPr>
    </w:p>
    <w:p w:rsidR="00B46AC4" w:rsidRDefault="00B46AC4" w:rsidP="00B46AC4">
      <w:pPr>
        <w:rPr>
          <w:color w:val="44546A" w:themeColor="text2"/>
        </w:rPr>
      </w:pPr>
    </w:p>
    <w:p w:rsidR="00F44E3F" w:rsidRPr="00F0505C" w:rsidRDefault="00B46AC4" w:rsidP="00B46AC4">
      <w:pPr>
        <w:spacing w:before="100" w:beforeAutospacing="1" w:after="268" w:line="276" w:lineRule="auto"/>
        <w:jc w:val="center"/>
        <w:rPr>
          <w:rFonts w:ascii="Verdana" w:eastAsia="Calibri" w:hAnsi="Verdana"/>
          <w:b/>
          <w:i/>
          <w:color w:val="002060"/>
          <w:sz w:val="20"/>
          <w:szCs w:val="20"/>
        </w:rPr>
      </w:pPr>
      <w:r w:rsidRPr="00B46AC4">
        <w:rPr>
          <w:rFonts w:ascii="Verdana" w:eastAsia="Calibri" w:hAnsi="Verdana"/>
          <w:b/>
          <w:i/>
          <w:color w:val="002060"/>
          <w:sz w:val="20"/>
          <w:szCs w:val="20"/>
        </w:rPr>
        <w:t>Testimony before Senate Education Committee: S2319 Charter Schools/Ruiz – Discussion</w:t>
      </w:r>
    </w:p>
    <w:p w:rsidR="00B46AC4" w:rsidRPr="00B46AC4" w:rsidRDefault="00F44E3F" w:rsidP="00B46AC4">
      <w:pPr>
        <w:spacing w:before="100" w:beforeAutospacing="1" w:after="268" w:line="276" w:lineRule="auto"/>
        <w:jc w:val="center"/>
        <w:rPr>
          <w:rFonts w:ascii="Verdana" w:eastAsia="Calibri" w:hAnsi="Verdana"/>
          <w:b/>
          <w:i/>
          <w:color w:val="002060"/>
          <w:sz w:val="20"/>
          <w:szCs w:val="20"/>
        </w:rPr>
      </w:pPr>
      <w:r w:rsidRPr="00F0505C">
        <w:rPr>
          <w:rFonts w:ascii="Verdana" w:hAnsi="Verdana"/>
          <w:sz w:val="20"/>
          <w:szCs w:val="20"/>
        </w:rPr>
        <w:t>‘Modifies various aspects of charter school program, including authorization, regulation, and monitoring; appropriates $250,000 to DOE for expenses of charter school authorizing board’</w:t>
      </w:r>
      <w:r w:rsidR="00B46AC4" w:rsidRPr="00B46AC4">
        <w:rPr>
          <w:rFonts w:ascii="Verdana" w:eastAsia="Calibri" w:hAnsi="Verdana"/>
          <w:b/>
          <w:i/>
          <w:color w:val="002060"/>
          <w:sz w:val="20"/>
          <w:szCs w:val="20"/>
        </w:rPr>
        <w:t xml:space="preserve"> </w:t>
      </w:r>
    </w:p>
    <w:p w:rsidR="00B46AC4" w:rsidRPr="00F0505C" w:rsidRDefault="00B46AC4" w:rsidP="00B46AC4">
      <w:pPr>
        <w:spacing w:before="100" w:beforeAutospacing="1" w:after="268" w:line="276" w:lineRule="auto"/>
        <w:jc w:val="center"/>
        <w:rPr>
          <w:rFonts w:ascii="Verdana" w:eastAsia="Calibri" w:hAnsi="Verdana"/>
          <w:b/>
          <w:i/>
          <w:color w:val="002060"/>
          <w:sz w:val="20"/>
          <w:szCs w:val="20"/>
        </w:rPr>
      </w:pPr>
      <w:r w:rsidRPr="00B46AC4">
        <w:rPr>
          <w:rFonts w:ascii="Verdana" w:eastAsia="Calibri" w:hAnsi="Verdana"/>
          <w:b/>
          <w:i/>
          <w:color w:val="002060"/>
          <w:sz w:val="20"/>
          <w:szCs w:val="20"/>
        </w:rPr>
        <w:t>Committee Room 6, Statehouse Annex October 16, 2014</w:t>
      </w:r>
    </w:p>
    <w:p w:rsidR="0002061E" w:rsidRDefault="0002061E" w:rsidP="00393981"/>
    <w:p w:rsidR="0002061E" w:rsidRDefault="0002061E" w:rsidP="00393981">
      <w:pPr>
        <w:rPr>
          <w:rFonts w:ascii="Verdana" w:hAnsi="Verdana"/>
          <w:sz w:val="20"/>
          <w:szCs w:val="20"/>
        </w:rPr>
      </w:pPr>
      <w:r w:rsidRPr="00DA4657">
        <w:rPr>
          <w:rFonts w:ascii="Verdana" w:hAnsi="Verdana"/>
          <w:sz w:val="20"/>
          <w:szCs w:val="20"/>
        </w:rPr>
        <w:t>Good mor</w:t>
      </w:r>
      <w:r w:rsidR="007B3DC4">
        <w:rPr>
          <w:rFonts w:ascii="Verdana" w:hAnsi="Verdana"/>
          <w:sz w:val="20"/>
          <w:szCs w:val="20"/>
        </w:rPr>
        <w:t xml:space="preserve">ning, I am Lynne Strickland, </w:t>
      </w:r>
      <w:r w:rsidRPr="00DA4657">
        <w:rPr>
          <w:rFonts w:ascii="Verdana" w:hAnsi="Verdana"/>
          <w:sz w:val="20"/>
          <w:szCs w:val="20"/>
        </w:rPr>
        <w:t>Executive Director of the Garden State Coalition of Schools/GSCS. GSCS appreciates</w:t>
      </w:r>
      <w:r w:rsidR="003654E0">
        <w:rPr>
          <w:rFonts w:ascii="Verdana" w:hAnsi="Verdana"/>
          <w:sz w:val="20"/>
          <w:szCs w:val="20"/>
        </w:rPr>
        <w:t>,</w:t>
      </w:r>
      <w:r w:rsidRPr="00DA4657">
        <w:rPr>
          <w:rFonts w:ascii="Verdana" w:hAnsi="Verdana"/>
          <w:sz w:val="20"/>
          <w:szCs w:val="20"/>
        </w:rPr>
        <w:t xml:space="preserve"> and thanks Senator Ruiz and the Education Committee</w:t>
      </w:r>
      <w:r w:rsidR="003654E0">
        <w:rPr>
          <w:rFonts w:ascii="Verdana" w:hAnsi="Verdana"/>
          <w:sz w:val="20"/>
          <w:szCs w:val="20"/>
        </w:rPr>
        <w:t>,</w:t>
      </w:r>
      <w:r w:rsidRPr="00DA4657">
        <w:rPr>
          <w:rFonts w:ascii="Verdana" w:hAnsi="Verdana"/>
          <w:sz w:val="20"/>
          <w:szCs w:val="20"/>
        </w:rPr>
        <w:t xml:space="preserve"> for the invitation to talk with you today on S2319</w:t>
      </w:r>
      <w:r w:rsidR="004C55EA">
        <w:rPr>
          <w:rFonts w:ascii="Verdana" w:hAnsi="Verdana"/>
          <w:sz w:val="20"/>
          <w:szCs w:val="20"/>
        </w:rPr>
        <w:t>.</w:t>
      </w:r>
    </w:p>
    <w:p w:rsidR="004C55EA" w:rsidRPr="00DA4657" w:rsidRDefault="004C55EA" w:rsidP="00393981">
      <w:pPr>
        <w:rPr>
          <w:rFonts w:ascii="Verdana" w:hAnsi="Verdana"/>
          <w:sz w:val="20"/>
          <w:szCs w:val="20"/>
        </w:rPr>
      </w:pPr>
    </w:p>
    <w:p w:rsidR="0002061E" w:rsidRPr="00DA4657" w:rsidRDefault="0002061E" w:rsidP="00393981">
      <w:pPr>
        <w:rPr>
          <w:rFonts w:ascii="Verdana" w:hAnsi="Verdana"/>
          <w:spacing w:val="4"/>
          <w:sz w:val="20"/>
          <w:szCs w:val="20"/>
        </w:rPr>
      </w:pPr>
      <w:r w:rsidRPr="00DA4657">
        <w:rPr>
          <w:rFonts w:ascii="Verdana" w:hAnsi="Verdana"/>
          <w:sz w:val="20"/>
          <w:szCs w:val="20"/>
        </w:rPr>
        <w:t xml:space="preserve">GSCS welcomes the measures of transparency and accountability this bill brings forth. Quality education is the underlying goal and is underscored by those features in the bill. The repeal of </w:t>
      </w:r>
      <w:r w:rsidRPr="00F0505C">
        <w:rPr>
          <w:rFonts w:ascii="Verdana" w:hAnsi="Verdana"/>
          <w:spacing w:val="4"/>
          <w:sz w:val="20"/>
          <w:szCs w:val="20"/>
        </w:rPr>
        <w:t>the conversion of high-performing nonpublic schools located in failing school districts into charter schools</w:t>
      </w:r>
      <w:r w:rsidR="004C55EA">
        <w:rPr>
          <w:rFonts w:ascii="Verdana" w:hAnsi="Verdana"/>
          <w:spacing w:val="4"/>
          <w:sz w:val="20"/>
          <w:szCs w:val="20"/>
        </w:rPr>
        <w:t xml:space="preserve"> </w:t>
      </w:r>
      <w:r w:rsidRPr="00DA4657">
        <w:rPr>
          <w:rFonts w:ascii="Verdana" w:hAnsi="Verdana"/>
          <w:spacing w:val="4"/>
          <w:sz w:val="20"/>
          <w:szCs w:val="20"/>
        </w:rPr>
        <w:t xml:space="preserve">make sense as does the requirement for </w:t>
      </w:r>
      <w:r w:rsidRPr="00F0505C">
        <w:rPr>
          <w:rFonts w:ascii="Verdana" w:hAnsi="Verdana"/>
          <w:spacing w:val="4"/>
          <w:sz w:val="20"/>
          <w:szCs w:val="20"/>
        </w:rPr>
        <w:t>charter school</w:t>
      </w:r>
      <w:r w:rsidR="004C55EA">
        <w:rPr>
          <w:rFonts w:ascii="Verdana" w:hAnsi="Verdana"/>
          <w:spacing w:val="4"/>
          <w:sz w:val="20"/>
          <w:szCs w:val="20"/>
        </w:rPr>
        <w:t>s to make</w:t>
      </w:r>
      <w:r w:rsidRPr="00F0505C">
        <w:rPr>
          <w:rFonts w:ascii="Verdana" w:hAnsi="Verdana"/>
          <w:spacing w:val="4"/>
          <w:sz w:val="20"/>
          <w:szCs w:val="20"/>
        </w:rPr>
        <w:t xml:space="preserve"> admission decisions</w:t>
      </w:r>
      <w:r w:rsidR="004C55EA">
        <w:rPr>
          <w:rFonts w:ascii="Verdana" w:hAnsi="Verdana"/>
          <w:spacing w:val="4"/>
          <w:sz w:val="20"/>
          <w:szCs w:val="20"/>
        </w:rPr>
        <w:t xml:space="preserve"> </w:t>
      </w:r>
      <w:r w:rsidRPr="00F0505C">
        <w:rPr>
          <w:rFonts w:ascii="Verdana" w:hAnsi="Verdana"/>
          <w:spacing w:val="4"/>
          <w:sz w:val="20"/>
          <w:szCs w:val="20"/>
        </w:rPr>
        <w:t>throu</w:t>
      </w:r>
      <w:r w:rsidRPr="00DA4657">
        <w:rPr>
          <w:rFonts w:ascii="Verdana" w:hAnsi="Verdana"/>
          <w:spacing w:val="4"/>
          <w:sz w:val="20"/>
          <w:szCs w:val="20"/>
        </w:rPr>
        <w:t>gh a certified public lottery when</w:t>
      </w:r>
      <w:r w:rsidRPr="00F0505C">
        <w:rPr>
          <w:rFonts w:ascii="Verdana" w:hAnsi="Verdana"/>
          <w:spacing w:val="4"/>
          <w:sz w:val="20"/>
          <w:szCs w:val="20"/>
        </w:rPr>
        <w:t xml:space="preserve"> the number of students seeking admission exceeds the number of available spaces</w:t>
      </w:r>
      <w:r w:rsidRPr="00DA4657">
        <w:rPr>
          <w:rFonts w:ascii="Verdana" w:hAnsi="Verdana"/>
          <w:spacing w:val="4"/>
          <w:sz w:val="20"/>
          <w:szCs w:val="20"/>
        </w:rPr>
        <w:t>.</w:t>
      </w:r>
    </w:p>
    <w:p w:rsidR="0002061E" w:rsidRPr="00DA4657" w:rsidRDefault="0002061E" w:rsidP="00393981">
      <w:pPr>
        <w:rPr>
          <w:rFonts w:ascii="Verdana" w:hAnsi="Verdana"/>
          <w:spacing w:val="4"/>
          <w:sz w:val="20"/>
          <w:szCs w:val="20"/>
        </w:rPr>
      </w:pPr>
    </w:p>
    <w:p w:rsidR="0002061E" w:rsidRPr="00DA4657" w:rsidRDefault="0002061E" w:rsidP="00393981">
      <w:pPr>
        <w:rPr>
          <w:rFonts w:ascii="Verdana" w:hAnsi="Verdana"/>
          <w:sz w:val="20"/>
          <w:szCs w:val="20"/>
        </w:rPr>
      </w:pPr>
      <w:r w:rsidRPr="00DA4657">
        <w:rPr>
          <w:rFonts w:ascii="Verdana" w:hAnsi="Verdana"/>
          <w:spacing w:val="4"/>
          <w:sz w:val="20"/>
          <w:szCs w:val="20"/>
        </w:rPr>
        <w:t xml:space="preserve">GSCS notes that neither charter school funding issues nor local input emerge in the bill. However, both issues are a rub in communities across New Jersey and will require resolution before charter schools can be comfortably integrated alongside traditional schools. </w:t>
      </w:r>
    </w:p>
    <w:p w:rsidR="0002061E" w:rsidRPr="00DA4657" w:rsidRDefault="0002061E" w:rsidP="00393981">
      <w:pPr>
        <w:rPr>
          <w:rFonts w:ascii="Verdana" w:hAnsi="Verdana"/>
          <w:sz w:val="20"/>
          <w:szCs w:val="20"/>
        </w:rPr>
      </w:pPr>
    </w:p>
    <w:p w:rsidR="00B2651F" w:rsidRPr="00DA4657" w:rsidRDefault="00B2651F" w:rsidP="005F320C">
      <w:pPr>
        <w:rPr>
          <w:rFonts w:ascii="Verdana" w:hAnsi="Verdana"/>
          <w:sz w:val="20"/>
          <w:szCs w:val="20"/>
        </w:rPr>
      </w:pPr>
      <w:bookmarkStart w:id="0" w:name="_GoBack"/>
      <w:bookmarkEnd w:id="0"/>
    </w:p>
    <w:p w:rsidR="00B2651F" w:rsidRPr="00DA4657" w:rsidRDefault="00872330" w:rsidP="00C60B6D">
      <w:pPr>
        <w:ind w:left="720" w:hanging="720"/>
        <w:rPr>
          <w:rFonts w:ascii="Verdana" w:hAnsi="Verdana"/>
          <w:sz w:val="20"/>
          <w:szCs w:val="20"/>
        </w:rPr>
      </w:pPr>
      <w:r>
        <w:rPr>
          <w:rFonts w:ascii="Verdana" w:hAnsi="Verdana"/>
          <w:sz w:val="20"/>
          <w:szCs w:val="20"/>
        </w:rPr>
        <w:t>Re: Funding – F</w:t>
      </w:r>
      <w:r w:rsidR="00B2651F" w:rsidRPr="00DA4657">
        <w:rPr>
          <w:rFonts w:ascii="Verdana" w:hAnsi="Verdana"/>
          <w:sz w:val="20"/>
          <w:szCs w:val="20"/>
        </w:rPr>
        <w:t>und</w:t>
      </w:r>
      <w:r>
        <w:rPr>
          <w:rFonts w:ascii="Verdana" w:hAnsi="Verdana"/>
          <w:sz w:val="20"/>
          <w:szCs w:val="20"/>
        </w:rPr>
        <w:t>ing</w:t>
      </w:r>
      <w:r w:rsidR="00B2651F" w:rsidRPr="00DA4657">
        <w:rPr>
          <w:rFonts w:ascii="Verdana" w:hAnsi="Verdana"/>
          <w:sz w:val="20"/>
          <w:szCs w:val="20"/>
        </w:rPr>
        <w:t xml:space="preserve"> the charter schools is </w:t>
      </w:r>
      <w:r>
        <w:rPr>
          <w:rFonts w:ascii="Verdana" w:hAnsi="Verdana"/>
          <w:sz w:val="20"/>
          <w:szCs w:val="20"/>
        </w:rPr>
        <w:t>omitted from the</w:t>
      </w:r>
      <w:r w:rsidR="00B2651F" w:rsidRPr="00DA4657">
        <w:rPr>
          <w:rFonts w:ascii="Verdana" w:hAnsi="Verdana"/>
          <w:sz w:val="20"/>
          <w:szCs w:val="20"/>
        </w:rPr>
        <w:t xml:space="preserve"> bill. This issue has dogged the acceptance of charter schools in New Jersey over the years and will continue to </w:t>
      </w:r>
      <w:r>
        <w:rPr>
          <w:rFonts w:ascii="Verdana" w:hAnsi="Verdana"/>
          <w:sz w:val="20"/>
          <w:szCs w:val="20"/>
        </w:rPr>
        <w:t>unless addressed. I</w:t>
      </w:r>
      <w:r w:rsidR="00B2651F" w:rsidRPr="00DA4657">
        <w:rPr>
          <w:rFonts w:ascii="Verdana" w:hAnsi="Verdana"/>
          <w:sz w:val="20"/>
          <w:szCs w:val="20"/>
        </w:rPr>
        <w:t>t requires an in-depth analysis and discussion by policymakers. Here are some of the complexities of the funding issue for one GSCS member district in Middlesex County:</w:t>
      </w:r>
    </w:p>
    <w:p w:rsidR="00B2651F" w:rsidRPr="00DA4657" w:rsidRDefault="00B2651F" w:rsidP="00C60B6D">
      <w:pPr>
        <w:ind w:left="720" w:hanging="720"/>
        <w:rPr>
          <w:rFonts w:ascii="Verdana" w:hAnsi="Verdana"/>
          <w:sz w:val="20"/>
          <w:szCs w:val="20"/>
        </w:rPr>
      </w:pPr>
    </w:p>
    <w:p w:rsidR="000E4CEC" w:rsidRDefault="00B2651F" w:rsidP="00B2651F">
      <w:pPr>
        <w:pStyle w:val="ListParagraph"/>
        <w:numPr>
          <w:ilvl w:val="0"/>
          <w:numId w:val="3"/>
        </w:numPr>
        <w:rPr>
          <w:rFonts w:ascii="Verdana" w:hAnsi="Verdana"/>
          <w:sz w:val="20"/>
          <w:szCs w:val="20"/>
        </w:rPr>
      </w:pPr>
      <w:r w:rsidRPr="00DA4657">
        <w:rPr>
          <w:rFonts w:ascii="Verdana" w:hAnsi="Verdana"/>
          <w:sz w:val="20"/>
          <w:szCs w:val="20"/>
        </w:rPr>
        <w:t xml:space="preserve">While the charter students must be supported by the same per pupil </w:t>
      </w:r>
      <w:r w:rsidR="000E4CEC">
        <w:rPr>
          <w:rFonts w:ascii="Verdana" w:hAnsi="Verdana"/>
          <w:sz w:val="20"/>
          <w:szCs w:val="20"/>
        </w:rPr>
        <w:t>cost as the local district at $1</w:t>
      </w:r>
      <w:r w:rsidRPr="00DA4657">
        <w:rPr>
          <w:rFonts w:ascii="Verdana" w:hAnsi="Verdana"/>
          <w:sz w:val="20"/>
          <w:szCs w:val="20"/>
        </w:rPr>
        <w:t>2,175 this year and,</w:t>
      </w:r>
    </w:p>
    <w:p w:rsidR="00B2651F" w:rsidRPr="00DA4657" w:rsidRDefault="00B2651F" w:rsidP="000E4CEC">
      <w:pPr>
        <w:pStyle w:val="ListParagraph"/>
        <w:rPr>
          <w:rFonts w:ascii="Verdana" w:hAnsi="Verdana"/>
          <w:sz w:val="20"/>
          <w:szCs w:val="20"/>
        </w:rPr>
      </w:pPr>
      <w:r w:rsidRPr="00DA4657">
        <w:rPr>
          <w:rFonts w:ascii="Verdana" w:hAnsi="Verdana"/>
          <w:sz w:val="20"/>
          <w:szCs w:val="20"/>
        </w:rPr>
        <w:t xml:space="preserve"> </w:t>
      </w:r>
    </w:p>
    <w:p w:rsidR="00B2651F" w:rsidRPr="00DA4657" w:rsidRDefault="00B2651F" w:rsidP="00B2651F">
      <w:pPr>
        <w:pStyle w:val="ListParagraph"/>
        <w:numPr>
          <w:ilvl w:val="0"/>
          <w:numId w:val="3"/>
        </w:numPr>
        <w:rPr>
          <w:rFonts w:ascii="Verdana" w:hAnsi="Verdana"/>
          <w:sz w:val="20"/>
          <w:szCs w:val="20"/>
        </w:rPr>
      </w:pPr>
      <w:r w:rsidRPr="00DA4657">
        <w:rPr>
          <w:rFonts w:ascii="Verdana" w:hAnsi="Verdana"/>
          <w:sz w:val="20"/>
          <w:szCs w:val="20"/>
        </w:rPr>
        <w:t>While the district is considered to be the charter school’s ‘district of residence’ only 52% of the students attending the charter school this year</w:t>
      </w:r>
      <w:r w:rsidR="000E4CEC">
        <w:rPr>
          <w:rFonts w:ascii="Verdana" w:hAnsi="Verdana"/>
          <w:sz w:val="20"/>
          <w:szCs w:val="20"/>
        </w:rPr>
        <w:t xml:space="preserve"> are from that district. T</w:t>
      </w:r>
      <w:r w:rsidRPr="00DA4657">
        <w:rPr>
          <w:rFonts w:ascii="Verdana" w:hAnsi="Verdana"/>
          <w:sz w:val="20"/>
          <w:szCs w:val="20"/>
        </w:rPr>
        <w:t xml:space="preserve">he </w:t>
      </w:r>
      <w:r w:rsidRPr="00DA4657">
        <w:rPr>
          <w:rFonts w:ascii="Verdana" w:hAnsi="Verdana"/>
          <w:sz w:val="20"/>
          <w:szCs w:val="20"/>
        </w:rPr>
        <w:lastRenderedPageBreak/>
        <w:t>district (as the ‘district of residence’) must annually put aside the amount of funding that charter ‘may’ require for the charter’s ‘projected</w:t>
      </w:r>
      <w:r w:rsidR="00671780">
        <w:rPr>
          <w:rFonts w:ascii="Verdana" w:hAnsi="Verdana"/>
          <w:sz w:val="20"/>
          <w:szCs w:val="20"/>
        </w:rPr>
        <w:t xml:space="preserve">’ enrollment in the next school </w:t>
      </w:r>
      <w:r w:rsidRPr="00DA4657">
        <w:rPr>
          <w:rFonts w:ascii="Verdana" w:hAnsi="Verdana"/>
          <w:sz w:val="20"/>
          <w:szCs w:val="20"/>
        </w:rPr>
        <w:t>year.</w:t>
      </w:r>
    </w:p>
    <w:p w:rsidR="00B2651F" w:rsidRPr="00DA4657" w:rsidRDefault="00B2651F" w:rsidP="00B2651F">
      <w:pPr>
        <w:ind w:left="360"/>
        <w:rPr>
          <w:rFonts w:ascii="Verdana" w:hAnsi="Verdana"/>
          <w:sz w:val="20"/>
          <w:szCs w:val="20"/>
        </w:rPr>
      </w:pPr>
    </w:p>
    <w:p w:rsidR="00B2651F" w:rsidRPr="00DA4657" w:rsidRDefault="00B2651F" w:rsidP="00B2651F">
      <w:pPr>
        <w:pStyle w:val="ListParagraph"/>
        <w:numPr>
          <w:ilvl w:val="0"/>
          <w:numId w:val="4"/>
        </w:numPr>
        <w:rPr>
          <w:rFonts w:ascii="Verdana" w:hAnsi="Verdana"/>
          <w:sz w:val="20"/>
          <w:szCs w:val="20"/>
        </w:rPr>
      </w:pPr>
      <w:r w:rsidRPr="00DA4657">
        <w:rPr>
          <w:rFonts w:ascii="Verdana" w:hAnsi="Verdana"/>
          <w:sz w:val="20"/>
          <w:szCs w:val="20"/>
        </w:rPr>
        <w:t xml:space="preserve">In the first year of the charter school in this district, the charter </w:t>
      </w:r>
      <w:proofErr w:type="gramStart"/>
      <w:r w:rsidRPr="00DA4657">
        <w:rPr>
          <w:rFonts w:ascii="Verdana" w:hAnsi="Verdana"/>
          <w:sz w:val="20"/>
          <w:szCs w:val="20"/>
        </w:rPr>
        <w:t>projected</w:t>
      </w:r>
      <w:r w:rsidR="00926639">
        <w:rPr>
          <w:rFonts w:ascii="Verdana" w:hAnsi="Verdana"/>
          <w:sz w:val="20"/>
          <w:szCs w:val="20"/>
        </w:rPr>
        <w:t xml:space="preserve"> </w:t>
      </w:r>
      <w:r w:rsidRPr="00DA4657">
        <w:rPr>
          <w:rFonts w:ascii="Verdana" w:hAnsi="Verdana"/>
          <w:sz w:val="20"/>
          <w:szCs w:val="20"/>
        </w:rPr>
        <w:t xml:space="preserve"> enrollment</w:t>
      </w:r>
      <w:proofErr w:type="gramEnd"/>
      <w:r w:rsidRPr="00DA4657">
        <w:rPr>
          <w:rFonts w:ascii="Verdana" w:hAnsi="Verdana"/>
          <w:sz w:val="20"/>
          <w:szCs w:val="20"/>
        </w:rPr>
        <w:t xml:space="preserve"> </w:t>
      </w:r>
      <w:r w:rsidR="00926639">
        <w:rPr>
          <w:rFonts w:ascii="Verdana" w:hAnsi="Verdana"/>
          <w:sz w:val="20"/>
          <w:szCs w:val="20"/>
        </w:rPr>
        <w:t xml:space="preserve">to </w:t>
      </w:r>
      <w:r w:rsidRPr="00DA4657">
        <w:rPr>
          <w:rFonts w:ascii="Verdana" w:hAnsi="Verdana"/>
          <w:sz w:val="20"/>
          <w:szCs w:val="20"/>
        </w:rPr>
        <w:t>be 108 students, required approximately $1.2M to be encumbered by that district. The actual enrollment turned out to be 36 students for the charter.</w:t>
      </w:r>
    </w:p>
    <w:p w:rsidR="00B2651F" w:rsidRPr="00DA4657" w:rsidRDefault="00B2651F" w:rsidP="00B2651F">
      <w:pPr>
        <w:rPr>
          <w:rFonts w:ascii="Verdana" w:hAnsi="Verdana"/>
          <w:sz w:val="20"/>
          <w:szCs w:val="20"/>
        </w:rPr>
      </w:pPr>
    </w:p>
    <w:p w:rsidR="00B2651F" w:rsidRPr="00DA4657" w:rsidRDefault="00B2651F" w:rsidP="00B2651F">
      <w:pPr>
        <w:pStyle w:val="ListParagraph"/>
        <w:numPr>
          <w:ilvl w:val="0"/>
          <w:numId w:val="4"/>
        </w:numPr>
        <w:rPr>
          <w:rFonts w:ascii="Verdana" w:hAnsi="Verdana"/>
          <w:sz w:val="20"/>
          <w:szCs w:val="20"/>
        </w:rPr>
      </w:pPr>
      <w:r w:rsidRPr="00DA4657">
        <w:rPr>
          <w:rFonts w:ascii="Verdana" w:hAnsi="Verdana"/>
          <w:sz w:val="20"/>
          <w:szCs w:val="20"/>
        </w:rPr>
        <w:t>In this current year, 36 new students were projected to enroll yet only 10 students additional enrolled.</w:t>
      </w:r>
    </w:p>
    <w:p w:rsidR="00B2651F" w:rsidRPr="00DA4657" w:rsidRDefault="00B2651F" w:rsidP="00B2651F">
      <w:pPr>
        <w:pStyle w:val="ListParagraph"/>
        <w:rPr>
          <w:rFonts w:ascii="Verdana" w:hAnsi="Verdana"/>
          <w:sz w:val="20"/>
          <w:szCs w:val="20"/>
        </w:rPr>
      </w:pPr>
    </w:p>
    <w:p w:rsidR="00B2651F" w:rsidRPr="00DA4657" w:rsidRDefault="00B2651F" w:rsidP="00B2651F">
      <w:pPr>
        <w:pStyle w:val="ListParagraph"/>
        <w:numPr>
          <w:ilvl w:val="0"/>
          <w:numId w:val="4"/>
        </w:numPr>
        <w:rPr>
          <w:rFonts w:ascii="Verdana" w:hAnsi="Verdana"/>
          <w:sz w:val="20"/>
          <w:szCs w:val="20"/>
        </w:rPr>
      </w:pPr>
      <w:r w:rsidRPr="00DA4657">
        <w:rPr>
          <w:rFonts w:ascii="Verdana" w:hAnsi="Verdana"/>
          <w:sz w:val="20"/>
          <w:szCs w:val="20"/>
        </w:rPr>
        <w:t>This hold on funds within the district’s budget frustrates many in the community since a) some of the monies could have been spent on needs within the district and</w:t>
      </w:r>
      <w:r w:rsidR="00C2553F">
        <w:rPr>
          <w:rFonts w:ascii="Verdana" w:hAnsi="Verdana"/>
          <w:sz w:val="20"/>
          <w:szCs w:val="20"/>
        </w:rPr>
        <w:t>/or</w:t>
      </w:r>
      <w:r w:rsidRPr="00DA4657">
        <w:rPr>
          <w:rFonts w:ascii="Verdana" w:hAnsi="Verdana"/>
          <w:sz w:val="20"/>
          <w:szCs w:val="20"/>
        </w:rPr>
        <w:t xml:space="preserve"> b) property taxes may have had to be raised above </w:t>
      </w:r>
      <w:r w:rsidR="000E4CEC">
        <w:rPr>
          <w:rFonts w:ascii="Verdana" w:hAnsi="Verdana"/>
          <w:sz w:val="20"/>
          <w:szCs w:val="20"/>
        </w:rPr>
        <w:t xml:space="preserve">actual </w:t>
      </w:r>
      <w:r w:rsidRPr="00DA4657">
        <w:rPr>
          <w:rFonts w:ascii="Verdana" w:hAnsi="Verdana"/>
          <w:sz w:val="20"/>
          <w:szCs w:val="20"/>
        </w:rPr>
        <w:t xml:space="preserve">need. The district currently funds its school budget around 90% from local property taxpayers. </w:t>
      </w:r>
    </w:p>
    <w:p w:rsidR="00B2651F" w:rsidRPr="00DA4657" w:rsidRDefault="00B2651F" w:rsidP="00B2651F">
      <w:pPr>
        <w:pStyle w:val="ListParagraph"/>
        <w:rPr>
          <w:rFonts w:ascii="Verdana" w:hAnsi="Verdana"/>
          <w:sz w:val="20"/>
          <w:szCs w:val="20"/>
        </w:rPr>
      </w:pPr>
    </w:p>
    <w:p w:rsidR="00B2651F" w:rsidRPr="00DA4657" w:rsidRDefault="00B2651F" w:rsidP="00DE4C37">
      <w:pPr>
        <w:pStyle w:val="ListParagraph"/>
        <w:numPr>
          <w:ilvl w:val="0"/>
          <w:numId w:val="3"/>
        </w:numPr>
        <w:rPr>
          <w:rFonts w:ascii="Verdana" w:hAnsi="Verdana"/>
          <w:sz w:val="20"/>
          <w:szCs w:val="20"/>
        </w:rPr>
      </w:pPr>
      <w:r w:rsidRPr="00DA4657">
        <w:rPr>
          <w:rFonts w:ascii="Verdana" w:hAnsi="Verdana"/>
          <w:sz w:val="20"/>
          <w:szCs w:val="20"/>
        </w:rPr>
        <w:t>While it has been stated that there is a one for one cost per pupil no matter the setting in which the pupil situated</w:t>
      </w:r>
      <w:r w:rsidR="000E4CEC">
        <w:rPr>
          <w:rFonts w:ascii="Verdana" w:hAnsi="Verdana"/>
          <w:sz w:val="20"/>
          <w:szCs w:val="20"/>
        </w:rPr>
        <w:t>, this theory does not often hold to fact</w:t>
      </w:r>
      <w:r w:rsidRPr="00DA4657">
        <w:rPr>
          <w:rFonts w:ascii="Verdana" w:hAnsi="Verdana"/>
          <w:sz w:val="20"/>
          <w:szCs w:val="20"/>
        </w:rPr>
        <w:t xml:space="preserve">. </w:t>
      </w:r>
      <w:r w:rsidR="000E4CEC">
        <w:rPr>
          <w:rFonts w:ascii="Verdana" w:hAnsi="Verdana"/>
          <w:sz w:val="20"/>
          <w:szCs w:val="20"/>
        </w:rPr>
        <w:t>I</w:t>
      </w:r>
      <w:r w:rsidRPr="00DA4657">
        <w:rPr>
          <w:rFonts w:ascii="Verdana" w:hAnsi="Verdana"/>
          <w:sz w:val="20"/>
          <w:szCs w:val="20"/>
        </w:rPr>
        <w:t>t is acknowledged that the larger a system and the larger the spread of students among grades, there</w:t>
      </w:r>
      <w:r w:rsidR="00BE5593">
        <w:rPr>
          <w:rFonts w:ascii="Verdana" w:hAnsi="Verdana"/>
          <w:sz w:val="20"/>
          <w:szCs w:val="20"/>
        </w:rPr>
        <w:t xml:space="preserve"> may not be an</w:t>
      </w:r>
      <w:r w:rsidRPr="00DA4657">
        <w:rPr>
          <w:rFonts w:ascii="Verdana" w:hAnsi="Verdana"/>
          <w:sz w:val="20"/>
          <w:szCs w:val="20"/>
        </w:rPr>
        <w:t xml:space="preserve"> impact on </w:t>
      </w:r>
      <w:r w:rsidR="00BE5593">
        <w:rPr>
          <w:rFonts w:ascii="Verdana" w:hAnsi="Verdana"/>
          <w:sz w:val="20"/>
          <w:szCs w:val="20"/>
        </w:rPr>
        <w:t xml:space="preserve">the </w:t>
      </w:r>
      <w:r w:rsidRPr="00DA4657">
        <w:rPr>
          <w:rFonts w:ascii="Verdana" w:hAnsi="Verdana"/>
          <w:sz w:val="20"/>
          <w:szCs w:val="20"/>
        </w:rPr>
        <w:t>number of teachers or classrooms required with the ebb and flow of students between traditional and charter schools. In this district’s case, they looked at what the</w:t>
      </w:r>
      <w:r w:rsidR="00DE7F4D">
        <w:rPr>
          <w:rFonts w:ascii="Verdana" w:hAnsi="Verdana"/>
          <w:sz w:val="20"/>
          <w:szCs w:val="20"/>
        </w:rPr>
        <w:t xml:space="preserve"> fiscal</w:t>
      </w:r>
      <w:r w:rsidRPr="00DA4657">
        <w:rPr>
          <w:rFonts w:ascii="Verdana" w:hAnsi="Verdana"/>
          <w:sz w:val="20"/>
          <w:szCs w:val="20"/>
        </w:rPr>
        <w:t xml:space="preserve"> impact on staff and space would be if the 160 charter students returned to the traditional schools</w:t>
      </w:r>
      <w:r w:rsidR="00BE5593">
        <w:rPr>
          <w:rFonts w:ascii="Verdana" w:hAnsi="Verdana"/>
          <w:sz w:val="20"/>
          <w:szCs w:val="20"/>
        </w:rPr>
        <w:t xml:space="preserve"> this year</w:t>
      </w:r>
      <w:r w:rsidRPr="00DA4657">
        <w:rPr>
          <w:rFonts w:ascii="Verdana" w:hAnsi="Verdana"/>
          <w:sz w:val="20"/>
          <w:szCs w:val="20"/>
        </w:rPr>
        <w:t xml:space="preserve">. </w:t>
      </w:r>
      <w:r w:rsidR="00BE5593">
        <w:rPr>
          <w:rFonts w:ascii="Verdana" w:hAnsi="Verdana"/>
          <w:sz w:val="20"/>
          <w:szCs w:val="20"/>
        </w:rPr>
        <w:t xml:space="preserve">Result? </w:t>
      </w:r>
      <w:r w:rsidRPr="00DA4657">
        <w:rPr>
          <w:rFonts w:ascii="Verdana" w:hAnsi="Verdana"/>
          <w:sz w:val="20"/>
          <w:szCs w:val="20"/>
        </w:rPr>
        <w:t>None.</w:t>
      </w:r>
    </w:p>
    <w:p w:rsidR="0002061E" w:rsidRPr="00DA4657" w:rsidRDefault="0002061E" w:rsidP="0002061E">
      <w:pPr>
        <w:rPr>
          <w:rFonts w:ascii="Verdana" w:hAnsi="Verdana"/>
          <w:sz w:val="20"/>
          <w:szCs w:val="20"/>
        </w:rPr>
      </w:pPr>
    </w:p>
    <w:p w:rsidR="0002061E" w:rsidRPr="00DA4657" w:rsidRDefault="0002061E" w:rsidP="0002061E">
      <w:pPr>
        <w:pStyle w:val="ListParagraph"/>
        <w:numPr>
          <w:ilvl w:val="0"/>
          <w:numId w:val="3"/>
        </w:numPr>
        <w:rPr>
          <w:rFonts w:ascii="Verdana" w:hAnsi="Verdana"/>
          <w:sz w:val="20"/>
          <w:szCs w:val="20"/>
        </w:rPr>
      </w:pPr>
      <w:r w:rsidRPr="00DA4657">
        <w:rPr>
          <w:rFonts w:ascii="Verdana" w:hAnsi="Verdana"/>
          <w:sz w:val="20"/>
          <w:szCs w:val="20"/>
        </w:rPr>
        <w:t>The lid of a 2% cap on budget growth places hardship on numbers of districts that have to reserve funds for projected enrollment growth in charter schools within the community. In the case of the Middlesex district referenced above, $2M had to be reserved for the current school year for the local charter school. Those dollars represented almost its entire cap allowance this year.</w:t>
      </w:r>
    </w:p>
    <w:p w:rsidR="00B2651F" w:rsidRPr="00DA4657" w:rsidRDefault="00B2651F" w:rsidP="00B2651F">
      <w:pPr>
        <w:rPr>
          <w:rFonts w:ascii="Verdana" w:hAnsi="Verdana"/>
          <w:sz w:val="20"/>
          <w:szCs w:val="20"/>
        </w:rPr>
      </w:pPr>
    </w:p>
    <w:p w:rsidR="00B2651F" w:rsidRPr="00DA4657" w:rsidRDefault="00B2651F" w:rsidP="00B2651F">
      <w:pPr>
        <w:rPr>
          <w:rFonts w:ascii="Verdana" w:hAnsi="Verdana"/>
          <w:sz w:val="20"/>
          <w:szCs w:val="20"/>
        </w:rPr>
      </w:pPr>
      <w:r w:rsidRPr="00DA4657">
        <w:rPr>
          <w:rFonts w:ascii="Verdana" w:hAnsi="Verdana"/>
          <w:sz w:val="20"/>
          <w:szCs w:val="20"/>
        </w:rPr>
        <w:t xml:space="preserve">Re: Local Input – Because of the competing policy tugs and </w:t>
      </w:r>
      <w:r w:rsidR="0002061E" w:rsidRPr="00DA4657">
        <w:rPr>
          <w:rFonts w:ascii="Verdana" w:hAnsi="Verdana"/>
          <w:sz w:val="20"/>
          <w:szCs w:val="20"/>
        </w:rPr>
        <w:t xml:space="preserve">funding needs of charters and </w:t>
      </w:r>
      <w:r w:rsidRPr="00DA4657">
        <w:rPr>
          <w:rFonts w:ascii="Verdana" w:hAnsi="Verdana"/>
          <w:sz w:val="20"/>
          <w:szCs w:val="20"/>
        </w:rPr>
        <w:t>traditional schools within districts, communities are too often pi</w:t>
      </w:r>
      <w:r w:rsidR="00BE5593">
        <w:rPr>
          <w:rFonts w:ascii="Verdana" w:hAnsi="Verdana"/>
          <w:sz w:val="20"/>
          <w:szCs w:val="20"/>
        </w:rPr>
        <w:t>t</w:t>
      </w:r>
      <w:r w:rsidRPr="00DA4657">
        <w:rPr>
          <w:rFonts w:ascii="Verdana" w:hAnsi="Verdana"/>
          <w:sz w:val="20"/>
          <w:szCs w:val="20"/>
        </w:rPr>
        <w:t>t</w:t>
      </w:r>
      <w:r w:rsidR="00BE5593">
        <w:rPr>
          <w:rFonts w:ascii="Verdana" w:hAnsi="Verdana"/>
          <w:sz w:val="20"/>
          <w:szCs w:val="20"/>
        </w:rPr>
        <w:t>ed</w:t>
      </w:r>
      <w:r w:rsidRPr="00DA4657">
        <w:rPr>
          <w:rFonts w:ascii="Verdana" w:hAnsi="Verdana"/>
          <w:sz w:val="20"/>
          <w:szCs w:val="20"/>
        </w:rPr>
        <w:t xml:space="preserve"> against one another in the same t</w:t>
      </w:r>
      <w:r w:rsidR="0002061E" w:rsidRPr="00DA4657">
        <w:rPr>
          <w:rFonts w:ascii="Verdana" w:hAnsi="Verdana"/>
          <w:sz w:val="20"/>
          <w:szCs w:val="20"/>
        </w:rPr>
        <w:t>owns and the same cities. A</w:t>
      </w:r>
      <w:r w:rsidRPr="00DA4657">
        <w:rPr>
          <w:rFonts w:ascii="Verdana" w:hAnsi="Verdana"/>
          <w:sz w:val="20"/>
          <w:szCs w:val="20"/>
        </w:rPr>
        <w:t xml:space="preserve"> reasonable </w:t>
      </w:r>
      <w:r w:rsidR="0002061E" w:rsidRPr="00DA4657">
        <w:rPr>
          <w:rFonts w:ascii="Verdana" w:hAnsi="Verdana"/>
          <w:sz w:val="20"/>
          <w:szCs w:val="20"/>
        </w:rPr>
        <w:t xml:space="preserve">and calm </w:t>
      </w:r>
      <w:r w:rsidRPr="00DA4657">
        <w:rPr>
          <w:rFonts w:ascii="Verdana" w:hAnsi="Verdana"/>
          <w:sz w:val="20"/>
          <w:szCs w:val="20"/>
        </w:rPr>
        <w:t>arena</w:t>
      </w:r>
      <w:r w:rsidR="0002061E" w:rsidRPr="00DA4657">
        <w:rPr>
          <w:rFonts w:ascii="Verdana" w:hAnsi="Verdana"/>
          <w:sz w:val="20"/>
          <w:szCs w:val="20"/>
        </w:rPr>
        <w:t xml:space="preserve"> for open information exchange, idea and concerns needs to be provided in the earlier stages of the approval process.</w:t>
      </w:r>
      <w:r w:rsidR="00BE5593">
        <w:rPr>
          <w:rFonts w:ascii="Verdana" w:hAnsi="Verdana"/>
          <w:sz w:val="20"/>
          <w:szCs w:val="20"/>
        </w:rPr>
        <w:t xml:space="preserve"> B</w:t>
      </w:r>
      <w:r w:rsidR="0002061E" w:rsidRPr="00DA4657">
        <w:rPr>
          <w:rFonts w:ascii="Verdana" w:hAnsi="Verdana"/>
          <w:sz w:val="20"/>
          <w:szCs w:val="20"/>
        </w:rPr>
        <w:t>eing heard and responded to realistically and openly is constructive and can allow for course correction as necessary.</w:t>
      </w:r>
    </w:p>
    <w:p w:rsidR="0002061E" w:rsidRPr="00DA4657" w:rsidRDefault="0002061E" w:rsidP="00B2651F">
      <w:pPr>
        <w:rPr>
          <w:rFonts w:ascii="Verdana" w:hAnsi="Verdana"/>
          <w:sz w:val="20"/>
          <w:szCs w:val="20"/>
        </w:rPr>
      </w:pPr>
    </w:p>
    <w:p w:rsidR="0002061E" w:rsidRPr="00DA4657" w:rsidRDefault="0002061E" w:rsidP="0002061E">
      <w:pPr>
        <w:ind w:left="720" w:hanging="720"/>
        <w:rPr>
          <w:rFonts w:ascii="Verdana" w:hAnsi="Verdana"/>
          <w:sz w:val="20"/>
          <w:szCs w:val="20"/>
        </w:rPr>
      </w:pPr>
      <w:r w:rsidRPr="00DA4657">
        <w:rPr>
          <w:rFonts w:ascii="Verdana" w:hAnsi="Verdana"/>
          <w:sz w:val="20"/>
          <w:szCs w:val="20"/>
        </w:rPr>
        <w:t>Garden State Coalition looks forward to working with Senator Ruiz and the Education</w:t>
      </w:r>
    </w:p>
    <w:p w:rsidR="0002061E" w:rsidRPr="00DA4657" w:rsidRDefault="0002061E" w:rsidP="0002061E">
      <w:pPr>
        <w:ind w:left="720" w:hanging="720"/>
        <w:rPr>
          <w:rFonts w:ascii="Verdana" w:hAnsi="Verdana"/>
          <w:sz w:val="20"/>
          <w:szCs w:val="20"/>
        </w:rPr>
      </w:pPr>
      <w:r w:rsidRPr="00DA4657">
        <w:rPr>
          <w:rFonts w:ascii="Verdana" w:hAnsi="Verdana"/>
          <w:sz w:val="20"/>
          <w:szCs w:val="20"/>
        </w:rPr>
        <w:t>Committee on these and other issues as this discussion moves ahead.</w:t>
      </w:r>
    </w:p>
    <w:p w:rsidR="0002061E" w:rsidRPr="00DA4657" w:rsidRDefault="0002061E" w:rsidP="0002061E">
      <w:pPr>
        <w:ind w:left="720" w:hanging="720"/>
        <w:rPr>
          <w:rFonts w:ascii="Verdana" w:hAnsi="Verdana"/>
          <w:sz w:val="20"/>
          <w:szCs w:val="20"/>
        </w:rPr>
      </w:pPr>
    </w:p>
    <w:p w:rsidR="0002061E" w:rsidRPr="00DA4657" w:rsidRDefault="0002061E" w:rsidP="0002061E">
      <w:pPr>
        <w:ind w:left="720" w:hanging="720"/>
        <w:rPr>
          <w:rFonts w:ascii="Verdana" w:hAnsi="Verdana"/>
          <w:sz w:val="20"/>
          <w:szCs w:val="20"/>
        </w:rPr>
      </w:pPr>
      <w:r w:rsidRPr="00DA4657">
        <w:rPr>
          <w:rFonts w:ascii="Verdana" w:hAnsi="Verdana"/>
          <w:sz w:val="20"/>
          <w:szCs w:val="20"/>
        </w:rPr>
        <w:t>Thank you.</w:t>
      </w:r>
    </w:p>
    <w:p w:rsidR="00B2651F" w:rsidRPr="00367607" w:rsidRDefault="00B2651F" w:rsidP="00B2651F"/>
    <w:p w:rsidR="00DE4A00" w:rsidRPr="00DE4A00" w:rsidRDefault="00DE4A00" w:rsidP="00DE4A00">
      <w:pPr>
        <w:spacing w:line="360" w:lineRule="auto"/>
        <w:ind w:left="360" w:hanging="360"/>
        <w:jc w:val="both"/>
        <w:rPr>
          <w:rFonts w:ascii="Verdana" w:hAnsi="Verdana"/>
          <w:spacing w:val="4"/>
          <w:sz w:val="20"/>
          <w:szCs w:val="20"/>
        </w:rPr>
      </w:pPr>
    </w:p>
    <w:sectPr w:rsidR="00DE4A00" w:rsidRPr="00DE4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74FDD"/>
    <w:multiLevelType w:val="hybridMultilevel"/>
    <w:tmpl w:val="0E88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02D77"/>
    <w:multiLevelType w:val="hybridMultilevel"/>
    <w:tmpl w:val="C088C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CB1FC7"/>
    <w:multiLevelType w:val="hybridMultilevel"/>
    <w:tmpl w:val="1B644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2E7AC8"/>
    <w:multiLevelType w:val="hybridMultilevel"/>
    <w:tmpl w:val="207812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74A"/>
    <w:rsid w:val="0002061E"/>
    <w:rsid w:val="000E4CEC"/>
    <w:rsid w:val="003654E0"/>
    <w:rsid w:val="00393981"/>
    <w:rsid w:val="003A6469"/>
    <w:rsid w:val="004C55EA"/>
    <w:rsid w:val="005F320C"/>
    <w:rsid w:val="00671780"/>
    <w:rsid w:val="007B3DC4"/>
    <w:rsid w:val="00872330"/>
    <w:rsid w:val="00926639"/>
    <w:rsid w:val="009B7FB3"/>
    <w:rsid w:val="00AD674A"/>
    <w:rsid w:val="00B2651F"/>
    <w:rsid w:val="00B46AC4"/>
    <w:rsid w:val="00BE5593"/>
    <w:rsid w:val="00C11733"/>
    <w:rsid w:val="00C2553F"/>
    <w:rsid w:val="00C60B6D"/>
    <w:rsid w:val="00DA4657"/>
    <w:rsid w:val="00DE4A00"/>
    <w:rsid w:val="00DE7F4D"/>
    <w:rsid w:val="00F0505C"/>
    <w:rsid w:val="00F44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C886F-ED35-45F8-8849-442E1E52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7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D674A"/>
    <w:rPr>
      <w:color w:val="0000FF"/>
      <w:u w:val="single"/>
    </w:rPr>
  </w:style>
  <w:style w:type="character" w:customStyle="1" w:styleId="BillHead">
    <w:name w:val="BillHead"/>
    <w:basedOn w:val="DefaultParagraphFont"/>
    <w:rsid w:val="00DE4A00"/>
    <w:rPr>
      <w:rFonts w:ascii="Times New Roman" w:hAnsi="Times New Roman"/>
      <w:b/>
      <w:smallCaps/>
      <w:sz w:val="24"/>
      <w:szCs w:val="20"/>
    </w:rPr>
  </w:style>
  <w:style w:type="paragraph" w:customStyle="1" w:styleId="HangingAnAct">
    <w:name w:val="HangingAnAct"/>
    <w:basedOn w:val="Normal"/>
    <w:next w:val="Normal"/>
    <w:link w:val="HangingAnActChar"/>
    <w:rsid w:val="00DE4A00"/>
    <w:pPr>
      <w:tabs>
        <w:tab w:val="left" w:pos="288"/>
      </w:tabs>
      <w:spacing w:line="288" w:lineRule="auto"/>
      <w:ind w:left="288" w:hanging="288"/>
      <w:jc w:val="both"/>
    </w:pPr>
    <w:rPr>
      <w:spacing w:val="4"/>
    </w:rPr>
  </w:style>
  <w:style w:type="character" w:customStyle="1" w:styleId="HangingAnActChar">
    <w:name w:val="HangingAnAct Char"/>
    <w:basedOn w:val="DefaultParagraphFont"/>
    <w:link w:val="HangingAnAct"/>
    <w:rsid w:val="00DE4A00"/>
    <w:rPr>
      <w:rFonts w:ascii="Times New Roman" w:eastAsia="Times New Roman" w:hAnsi="Times New Roman" w:cs="Times New Roman"/>
      <w:spacing w:val="4"/>
      <w:sz w:val="24"/>
      <w:szCs w:val="24"/>
    </w:rPr>
  </w:style>
  <w:style w:type="paragraph" w:customStyle="1" w:styleId="FronterPageNOCAPS">
    <w:name w:val="FronterPageNOCAPS"/>
    <w:basedOn w:val="Normal"/>
    <w:next w:val="Normal"/>
    <w:rsid w:val="00DE4A00"/>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jc w:val="both"/>
    </w:pPr>
  </w:style>
  <w:style w:type="paragraph" w:styleId="BalloonText">
    <w:name w:val="Balloon Text"/>
    <w:basedOn w:val="Normal"/>
    <w:link w:val="BalloonTextChar"/>
    <w:uiPriority w:val="99"/>
    <w:semiHidden/>
    <w:unhideWhenUsed/>
    <w:rsid w:val="003939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981"/>
    <w:rPr>
      <w:rFonts w:ascii="Segoe UI" w:eastAsia="Times New Roman" w:hAnsi="Segoe UI" w:cs="Segoe UI"/>
      <w:sz w:val="18"/>
      <w:szCs w:val="18"/>
    </w:rPr>
  </w:style>
  <w:style w:type="paragraph" w:styleId="ListParagraph">
    <w:name w:val="List Paragraph"/>
    <w:basedOn w:val="Normal"/>
    <w:uiPriority w:val="34"/>
    <w:qFormat/>
    <w:rsid w:val="00B26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15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scschoo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images.search.yahoo.com/images/view;_ylt=AwrB8pOfKsBTbykAkSaJzbkF;_ylu=X3oDMTIzaWxzbW5lBHNlYwNzcgRzbGsDaW1nBG9pZAMzYjk0MzE3NTE1YjcwNTBlZjliYmI2ZmYyNGVhNzA2NARncG9zAzEzBGl0A2Jpbmc-?back=https://images.search.yahoo.com/search/images?_adv_prop%3Dimage%26va%3Dstate%2Bnj%26fr%3Dyfp-t-901%26tab%3Dorganic%26ri%3D13&amp;w=250&amp;h=250&amp;imgurl=oshaeducationcenter.com/images/state_newjersey.png&amp;rurl=http://oshaeducationcenter.com/new-jersey/&amp;size=12.1KB&amp;name=%3cb%3eNew+Jersey%3c/b%3e+OSHA+Training&amp;p=state+nj&amp;oid=3b94317515b7050ef9bbb6ff24ea7064&amp;fr2=&amp;fr=yfp-t-901&amp;tt=%3cb%3eNew+Jersey%3c/b%3e+OSHA+Training&amp;b=0&amp;ni=21&amp;no=13&amp;ts=&amp;tab=organic&amp;sigr=11aqohqtn&amp;sigb=138c0khcf&amp;sigi=11iusp4ro&amp;sigt=10vopi4o9&amp;sign=10vopi4o9&amp;.crumb=fonKaGwrFgu&amp;fr=yfp-t-90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Strickland</dc:creator>
  <cp:keywords/>
  <dc:description/>
  <cp:lastModifiedBy>Lynne Strickland</cp:lastModifiedBy>
  <cp:revision>3</cp:revision>
  <cp:lastPrinted>2014-10-15T23:52:00Z</cp:lastPrinted>
  <dcterms:created xsi:type="dcterms:W3CDTF">2014-10-16T00:02:00Z</dcterms:created>
  <dcterms:modified xsi:type="dcterms:W3CDTF">2014-10-16T11:07:00Z</dcterms:modified>
</cp:coreProperties>
</file>